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"/>
          <w:b/>
          <w:sz w:val="28"/>
          <w:szCs w:val="28"/>
          <w:lang w:val="uk-UA"/>
        </w:rPr>
      </w:pPr>
      <w:bookmarkStart w:id="0" w:name="_Hlk66267013"/>
      <w:bookmarkStart w:id="1" w:name="_GoBack"/>
      <w:bookmarkEnd w:id="1"/>
      <w:r>
        <w:rPr>
          <w:rFonts w:eastAsia="Arial"/>
          <w:b/>
          <w:sz w:val="28"/>
          <w:szCs w:val="28"/>
          <w:lang w:val="uk-UA"/>
        </w:rPr>
        <w:t>ПОЛОЖЕННЯ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"/>
          <w:b/>
          <w:sz w:val="28"/>
          <w:szCs w:val="28"/>
          <w:lang w:val="uk-UA"/>
        </w:rPr>
      </w:pPr>
      <w:r>
        <w:rPr>
          <w:rFonts w:eastAsia="Arial"/>
          <w:b/>
          <w:sz w:val="28"/>
          <w:szCs w:val="28"/>
          <w:lang w:val="uk-UA"/>
        </w:rPr>
        <w:t>про р</w:t>
      </w:r>
      <w:r>
        <w:rPr>
          <w:rFonts w:eastAsia="Arial"/>
          <w:b/>
          <w:sz w:val="28"/>
          <w:szCs w:val="28"/>
          <w:lang w:val="uk-UA"/>
        </w:rPr>
        <w:t>обочу Групу з місцевого економічного розвитку</w:t>
      </w:r>
      <w:bookmarkEnd w:id="0"/>
      <w:r>
        <w:rPr>
          <w:rFonts w:eastAsia="Arial"/>
          <w:b/>
          <w:sz w:val="28"/>
          <w:szCs w:val="28"/>
          <w:lang w:val="uk-UA"/>
        </w:rPr>
        <w:t xml:space="preserve"> </w:t>
      </w:r>
      <w:r>
        <w:rPr>
          <w:rFonts w:eastAsia="Arial"/>
          <w:b/>
          <w:sz w:val="28"/>
          <w:szCs w:val="28"/>
          <w:lang w:val="uk-UA"/>
        </w:rPr>
        <w:br/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1. Загальні засади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1.1. Робоча група з місцевого економічного розвитку (далі Робоча група) є постійним консультативно-дорадчим органом (КДО) Менської міської територіальної громади, що утворюється та діє при </w:t>
      </w:r>
      <w:r>
        <w:rPr>
          <w:rFonts w:eastAsia="Arial"/>
          <w:sz w:val="28"/>
          <w:szCs w:val="28"/>
          <w:lang w:val="uk-UA"/>
        </w:rPr>
        <w:t>Менської міської ради. КДО створений для планування, виконання та регулярного перегляду заходів місцевого економічного розвитку у громаді.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1.2. У своїй діяльності Робоча група керується чинним законодавством України, рішеннями міської ради, її виконавчого </w:t>
      </w:r>
      <w:r>
        <w:rPr>
          <w:rFonts w:eastAsia="Arial"/>
          <w:sz w:val="28"/>
          <w:szCs w:val="28"/>
          <w:lang w:val="uk-UA"/>
        </w:rPr>
        <w:t xml:space="preserve">комітету, розпорядженнями міського голови та цим Положенням. 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1.3. Місцевий економічний розвиток (далі — МЕР) — партисипативний процес, до якого залучені зацікавлені сторони громади та метою якого є стале економічне зростання на місцевому рівні та підвищення якості життя мешканців. Економічне зростання відбувається ч</w:t>
      </w:r>
      <w:r>
        <w:rPr>
          <w:rFonts w:eastAsia="Arial"/>
          <w:sz w:val="28"/>
          <w:szCs w:val="28"/>
          <w:lang w:val="uk-UA"/>
        </w:rPr>
        <w:t>ерез регулярний діалог з місцевим бізнесом, підтримку наявного бізнесу, сприяння підприємництву, розвиток людського капіталу та трудових ресурсів, та залучення нового бізнесу і інвестицій в громаду.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1.4. Програма місцевого економічного розвитку – це докуме</w:t>
      </w:r>
      <w:r>
        <w:rPr>
          <w:rFonts w:eastAsia="Arial"/>
          <w:sz w:val="28"/>
          <w:szCs w:val="28"/>
          <w:lang w:val="uk-UA"/>
        </w:rPr>
        <w:t xml:space="preserve">нт, розроблений робочою групою, який містить набір конкретних проєктів, реалізація яких дозволить досягти цілей економічного розвитку громади, визначених у Стратегії. Програма МЕР є багаторічною на термін від 3 років. Програма МЕР містить не менше ніж три </w:t>
      </w:r>
      <w:r>
        <w:rPr>
          <w:rFonts w:eastAsia="Arial"/>
          <w:sz w:val="28"/>
          <w:szCs w:val="28"/>
          <w:lang w:val="uk-UA"/>
        </w:rPr>
        <w:t>проєкти з детально описаними заходами, що необхідно виконати, переліком та вартістю необхідних матеріалів/обладнання/послуг, які необхідно придбати, та відповідальними особами, закріпленими за координацію виконання кожного з проєктів. </w:t>
      </w:r>
    </w:p>
    <w:p w:rsidR="00E43EE7" w:rsidRDefault="00771625">
      <w:pPr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1.5 Проєкт — логічно</w:t>
      </w:r>
      <w:r>
        <w:rPr>
          <w:rFonts w:eastAsia="Arial"/>
          <w:sz w:val="28"/>
          <w:szCs w:val="28"/>
          <w:lang w:val="uk-UA"/>
        </w:rPr>
        <w:t xml:space="preserve"> та хронологічно узгоджений комплекс заходів, виконання яких призводить до досягнення поставленої мети у встановлений строк, із залученням визначених людських, матеріальних і фінансових ресурсів.</w:t>
      </w:r>
    </w:p>
    <w:p w:rsidR="00E43EE7" w:rsidRDefault="00E43EE7">
      <w:pPr>
        <w:jc w:val="both"/>
        <w:rPr>
          <w:rFonts w:eastAsia="Arial"/>
          <w:sz w:val="28"/>
          <w:szCs w:val="28"/>
          <w:lang w:val="uk-UA"/>
        </w:rPr>
      </w:pP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2. Мета, завдання та повноваження Робочої Групи. 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2.1. Мето</w:t>
      </w:r>
      <w:r>
        <w:rPr>
          <w:rFonts w:eastAsia="Arial"/>
          <w:sz w:val="28"/>
          <w:szCs w:val="28"/>
          <w:lang w:val="uk-UA"/>
        </w:rPr>
        <w:t xml:space="preserve">ю діяльності Робочої Групи є координація діяльності виконавчих органів, комунальних установ, закладів і підприємств, представників бізнесу, підприємців та громадянського суспільства задля досягнення сталого економічного зростання у громаді. 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2.2. Основною </w:t>
      </w:r>
      <w:r>
        <w:rPr>
          <w:rFonts w:eastAsia="Arial"/>
          <w:sz w:val="28"/>
          <w:szCs w:val="28"/>
          <w:lang w:val="uk-UA"/>
        </w:rPr>
        <w:t xml:space="preserve">метою Робочої Групи є створення сприятливого середовища у громаді для, в залежності від пріоритетів розвитку громади: </w:t>
      </w:r>
    </w:p>
    <w:p w:rsidR="00E43EE7" w:rsidRDefault="00771625">
      <w:pPr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- Підтримки наявного бізнесу;</w:t>
      </w:r>
    </w:p>
    <w:p w:rsidR="00E43EE7" w:rsidRDefault="00771625">
      <w:pPr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- Сприяння розвитку підприємництва;</w:t>
      </w:r>
    </w:p>
    <w:p w:rsidR="00E43EE7" w:rsidRDefault="00771625">
      <w:pPr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- Розвитку трудових ресурсів;</w:t>
      </w:r>
    </w:p>
    <w:p w:rsidR="00E43EE7" w:rsidRDefault="00771625">
      <w:pPr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- Залучення нового бізнесу та інвестицій.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2.3. Повноваження Робочої Групи полягають у:</w:t>
      </w:r>
    </w:p>
    <w:p w:rsidR="00E43EE7" w:rsidRDefault="00771625">
      <w:pPr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- моніторингу стану МЕР у громаді, 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- створення та вдосконалення програми МЕР, 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lastRenderedPageBreak/>
        <w:t xml:space="preserve">- проведення громадських обговорень та інших публічних заходів, 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- залучення зацікавлених осіб та експертів до діяльності Робочої </w:t>
      </w:r>
      <w:r>
        <w:rPr>
          <w:rFonts w:eastAsia="Arial"/>
          <w:sz w:val="28"/>
          <w:szCs w:val="28"/>
          <w:lang w:val="uk-UA"/>
        </w:rPr>
        <w:t xml:space="preserve">Групи, 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- отримання в установленому порядку від посадових осіб органів місцевого самоврядування, підприємств, установ та організацій інформацію, необхідну для виконання покладених на неї завдань;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- надання органам та посадовим особам місцевого самоврядуван</w:t>
      </w:r>
      <w:r>
        <w:rPr>
          <w:rFonts w:eastAsia="Arial"/>
          <w:sz w:val="28"/>
          <w:szCs w:val="28"/>
          <w:lang w:val="uk-UA"/>
        </w:rPr>
        <w:t xml:space="preserve">ня пропозицій щодо покращення МЕР. </w:t>
      </w:r>
    </w:p>
    <w:p w:rsidR="00E43EE7" w:rsidRDefault="00E43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3. Формування складу Робочої Групи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3.1. Робоча група складається з голови, заступника, секретаря та інших членів. Склад Робочої Групи затверджується розпорядженням голови міської ради.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3.2. До </w:t>
      </w:r>
      <w:r>
        <w:rPr>
          <w:rFonts w:eastAsia="Arial"/>
          <w:sz w:val="28"/>
          <w:szCs w:val="28"/>
          <w:lang w:val="uk-UA"/>
        </w:rPr>
        <w:t xml:space="preserve">складу Робочої групи повинні входити представники: 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- Місцевої влади; 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- Бізнесу;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- Громадських організацій або активних у громадській діяльності жителів;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- Молодіжних організацій або активних представників молоді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- представники освіти в т. ч. професійної.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3.3. Члени Робочої Групи мають право вносити на розгляд Робочої Групи будь-які питання, що стосуються її діяльності.  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3.4. Члени Робочої Групи виконують свої обов’язки на громадських засадах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3.5. Рішення про оновлення складу Робочої групи відбувається на</w:t>
      </w:r>
      <w:r>
        <w:rPr>
          <w:rFonts w:eastAsia="Arial"/>
          <w:sz w:val="28"/>
          <w:szCs w:val="28"/>
          <w:lang w:val="uk-UA"/>
        </w:rPr>
        <w:t xml:space="preserve"> засіданні Робочої групи. </w:t>
      </w:r>
      <w:bookmarkStart w:id="2" w:name="bookmark=id.gjdgxs"/>
      <w:bookmarkEnd w:id="2"/>
      <w:r>
        <w:rPr>
          <w:rFonts w:eastAsia="Arial"/>
          <w:sz w:val="28"/>
          <w:szCs w:val="28"/>
          <w:lang w:val="uk-UA"/>
        </w:rPr>
        <w:t>Зміни у складі Робочої групи затверджуються розпорядженням міського голови, зокрема на підставі протоколу засідання Робочої групи з МЕР. ОМС оприлюднює відомості про такі зміни на своєму офіційному веб-сайті протягом трьох робочих</w:t>
      </w:r>
      <w:r>
        <w:rPr>
          <w:rFonts w:eastAsia="Arial"/>
          <w:sz w:val="28"/>
          <w:szCs w:val="28"/>
          <w:lang w:val="uk-UA"/>
        </w:rPr>
        <w:t xml:space="preserve"> днів з моменту затвердження.</w:t>
      </w:r>
    </w:p>
    <w:p w:rsidR="00E43EE7" w:rsidRDefault="00E43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4. Організація та процедури роботи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bookmarkStart w:id="3" w:name="bookmark=id.30j0zll"/>
      <w:bookmarkEnd w:id="3"/>
      <w:r>
        <w:rPr>
          <w:rFonts w:eastAsia="Arial"/>
          <w:sz w:val="28"/>
          <w:szCs w:val="28"/>
          <w:lang w:val="uk-UA"/>
        </w:rPr>
        <w:t xml:space="preserve">4.1. Формою роботи Робочої Групи є засідання, які проводяться за необхідності, але не рідше одного разу на три місяці. 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4.2. Голова Робочої Групи здійснює загальне керівництво та забезпечує </w:t>
      </w:r>
      <w:r>
        <w:rPr>
          <w:rFonts w:eastAsia="Arial"/>
          <w:sz w:val="28"/>
          <w:szCs w:val="28"/>
          <w:lang w:val="uk-UA"/>
        </w:rPr>
        <w:t>організацію роботи органу, скликає засідання та головує на них. У разі відсутності голови, засідання проводить заступник голови за його дорученням.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4.3. Члени Робочої Групи беруть персональну участь у її засіданнях. Засідання вважається правомочним, якщо н</w:t>
      </w:r>
      <w:r>
        <w:rPr>
          <w:rFonts w:eastAsia="Arial"/>
          <w:sz w:val="28"/>
          <w:szCs w:val="28"/>
          <w:lang w:val="uk-UA"/>
        </w:rPr>
        <w:t>а ньому присутні більш як половина її членів. За рішенням Робочої Групи та за наявності технічних засобів засідання Ради може бути проведено дистанційно в режимі відеоконференції.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4.4. На своїх засіданнях Робоча група розробляє пропозиції та рекомендації з</w:t>
      </w:r>
      <w:r>
        <w:rPr>
          <w:rFonts w:eastAsia="Arial"/>
          <w:sz w:val="28"/>
          <w:szCs w:val="28"/>
          <w:lang w:val="uk-UA"/>
        </w:rPr>
        <w:t xml:space="preserve"> питань, що належать до її компетенції, і виконує, але не обмежуючись, наступні дії та заходи: розробляє, публікує на офіційному сайті громади, оновлює (не рідше одного разу на рік, не пізніше 31 травня) Економічний профіль громади; розробляє проєкт, прово</w:t>
      </w:r>
      <w:r>
        <w:rPr>
          <w:rFonts w:eastAsia="Arial"/>
          <w:sz w:val="28"/>
          <w:szCs w:val="28"/>
          <w:lang w:val="uk-UA"/>
        </w:rPr>
        <w:t xml:space="preserve">дить громадське обговорення, та моніторить (не рідше ніж двічі на рік) впровадження Програми МЕР; публікує звіти про виконання Програми МЕР на сайті громади; розробляє заходи щодо залучення і роботи з </w:t>
      </w:r>
      <w:r>
        <w:rPr>
          <w:rFonts w:eastAsia="Arial"/>
          <w:sz w:val="28"/>
          <w:szCs w:val="28"/>
          <w:lang w:val="uk-UA"/>
        </w:rPr>
        <w:lastRenderedPageBreak/>
        <w:t>інвесторами; бере участь у засіданнях сесії місцевої ра</w:t>
      </w:r>
      <w:r>
        <w:rPr>
          <w:rFonts w:eastAsia="Arial"/>
          <w:sz w:val="28"/>
          <w:szCs w:val="28"/>
          <w:lang w:val="uk-UA"/>
        </w:rPr>
        <w:t xml:space="preserve">ди (щонайменше двічі на рік). У порядку денному кожного засідання присутні  питання, пов’язані із виконанням Програми МЕР. 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Пропозиції та рекомендації вважаються схваленими, якщо за них проголосувало більш як половина присутніх на засіданні членів Робочої </w:t>
      </w:r>
      <w:r>
        <w:rPr>
          <w:rFonts w:eastAsia="Arial"/>
          <w:sz w:val="28"/>
          <w:szCs w:val="28"/>
          <w:lang w:val="uk-UA"/>
        </w:rPr>
        <w:t>Групи. У разі рівного розподілу голосів вирішальним є голос головуючого на засіданні.</w:t>
      </w:r>
      <w:r>
        <w:rPr>
          <w:rFonts w:eastAsia="Arial"/>
          <w:sz w:val="28"/>
          <w:szCs w:val="28"/>
          <w:lang w:val="uk-UA"/>
        </w:rPr>
        <w:br/>
        <w:t>4.5. Пропозиції та рекомендації Робочої Групи оформлюються протоколом засідання, який підписується головуючим на її засіданні та секретарем і надсилається всім членам Роб</w:t>
      </w:r>
      <w:r>
        <w:rPr>
          <w:rFonts w:eastAsia="Arial"/>
          <w:sz w:val="28"/>
          <w:szCs w:val="28"/>
          <w:lang w:val="uk-UA"/>
        </w:rPr>
        <w:t>очої Групи та публікується на сайті громади. Член Робочої Групи, який не підтримує пропозиції та рекомендації, може викласти в письмовій формі свою окрему думку, що додається до протоколу засідання.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4.6. Підготовку матеріалів до розгляду Робочою Групою, повідомлення всім членам Робочої Групи про час і дату чергового засідання, ведення протоколу засідання Ради та його надсилання членам Робочої Групи забезпечує секретар. Про дату проведення засідання та</w:t>
      </w:r>
      <w:r>
        <w:rPr>
          <w:rFonts w:eastAsia="Arial"/>
          <w:sz w:val="28"/>
          <w:szCs w:val="28"/>
          <w:lang w:val="uk-UA"/>
        </w:rPr>
        <w:t xml:space="preserve"> порядок денний члени Робочої Групи інформуються не пізніше ніж за три робочих дні до дати проведення засідання.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4.7. Організаційне, інформаційне та матеріально-технічне забезпечення діяльності Робочої групи забезпечує відділ цифрової трансформації та кому</w:t>
      </w:r>
      <w:r>
        <w:rPr>
          <w:rFonts w:eastAsia="Arial"/>
          <w:sz w:val="28"/>
          <w:szCs w:val="28"/>
          <w:lang w:val="uk-UA"/>
        </w:rPr>
        <w:t>нікації Менської міської ради, який створює належні умови для її роботи, у тому числі забезпечує Робочу групу простором для робочих зустрічей та засобами зв'язку.</w:t>
      </w:r>
    </w:p>
    <w:p w:rsidR="00E43EE7" w:rsidRDefault="00E43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5. Моніторинг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5.1. Основною метою моніторингу є забезпечення реалізації та постійної підтрим</w:t>
      </w:r>
      <w:r>
        <w:rPr>
          <w:rFonts w:eastAsia="Arial"/>
          <w:sz w:val="28"/>
          <w:szCs w:val="28"/>
          <w:lang w:val="uk-UA"/>
        </w:rPr>
        <w:t>ки актуальності стану Програми МЕР та проєктів МЕР, які описані в Програмі.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5.2. Моніторинг процесу реалізації Програми МЕР проводиться координаторами проєктів, інформація зводиться відділом економічного розвитку та інвестицій Менської міської ради і заслу</w:t>
      </w:r>
      <w:r>
        <w:rPr>
          <w:rFonts w:eastAsia="Arial"/>
          <w:sz w:val="28"/>
          <w:szCs w:val="28"/>
          <w:lang w:val="uk-UA"/>
        </w:rPr>
        <w:t>ховується на засіданні Робочої групи не рідше ніж двічі на рік.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5.3. Координатори проєктів подають відділу економічного розвитку та інвестицій Менської міської ради інформацію щодо стану реалізації проєктів та необхідних подальших дій з провадження проєкті</w:t>
      </w:r>
      <w:r>
        <w:rPr>
          <w:rFonts w:eastAsia="Arial"/>
          <w:sz w:val="28"/>
          <w:szCs w:val="28"/>
          <w:lang w:val="uk-UA"/>
        </w:rPr>
        <w:t>в.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5.3. За результатами моніторингу Робоча група готує звіт, який підписує Голова Робочої Групи  та публікує звіт на офіційному сайті громади. </w:t>
      </w:r>
    </w:p>
    <w:p w:rsidR="00E43EE7" w:rsidRDefault="0077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sz w:val="28"/>
          <w:szCs w:val="28"/>
          <w:lang w:val="uk-UA"/>
        </w:rPr>
      </w:pPr>
      <w:bookmarkStart w:id="4" w:name="_heading=h.1fob9te"/>
      <w:bookmarkEnd w:id="4"/>
      <w:r>
        <w:rPr>
          <w:rFonts w:eastAsia="Arial"/>
          <w:sz w:val="28"/>
          <w:szCs w:val="28"/>
          <w:lang w:val="uk-UA"/>
        </w:rPr>
        <w:t>5.4. Робоча група може вносити пропозиції з коригування та оновлення Програми МЕР.</w:t>
      </w:r>
    </w:p>
    <w:sectPr w:rsidR="00E43EE7">
      <w:headerReference w:type="default" r:id="rId7"/>
      <w:pgSz w:w="11900" w:h="16840"/>
      <w:pgMar w:top="1134" w:right="567" w:bottom="1134" w:left="1701" w:header="431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625" w:rsidRDefault="00771625">
      <w:r>
        <w:separator/>
      </w:r>
    </w:p>
  </w:endnote>
  <w:endnote w:type="continuationSeparator" w:id="0">
    <w:p w:rsidR="00771625" w:rsidRDefault="0077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625" w:rsidRDefault="00771625">
      <w:r>
        <w:separator/>
      </w:r>
    </w:p>
  </w:footnote>
  <w:footnote w:type="continuationSeparator" w:id="0">
    <w:p w:rsidR="00771625" w:rsidRDefault="0077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E7" w:rsidRDefault="00E43EE7">
    <w:pP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52D80"/>
    <w:multiLevelType w:val="hybridMultilevel"/>
    <w:tmpl w:val="64DCB54A"/>
    <w:lvl w:ilvl="0" w:tplc="6740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26568">
      <w:start w:val="1"/>
      <w:numFmt w:val="lowerLetter"/>
      <w:lvlText w:val="%2."/>
      <w:lvlJc w:val="left"/>
      <w:pPr>
        <w:ind w:left="1440" w:hanging="360"/>
      </w:pPr>
    </w:lvl>
    <w:lvl w:ilvl="2" w:tplc="E39A0EEE">
      <w:start w:val="1"/>
      <w:numFmt w:val="lowerRoman"/>
      <w:lvlText w:val="%3."/>
      <w:lvlJc w:val="right"/>
      <w:pPr>
        <w:ind w:left="2160" w:hanging="180"/>
      </w:pPr>
    </w:lvl>
    <w:lvl w:ilvl="3" w:tplc="248C6238">
      <w:start w:val="1"/>
      <w:numFmt w:val="decimal"/>
      <w:lvlText w:val="%4."/>
      <w:lvlJc w:val="left"/>
      <w:pPr>
        <w:ind w:left="2880" w:hanging="360"/>
      </w:pPr>
    </w:lvl>
    <w:lvl w:ilvl="4" w:tplc="5A82C574">
      <w:start w:val="1"/>
      <w:numFmt w:val="lowerLetter"/>
      <w:lvlText w:val="%5."/>
      <w:lvlJc w:val="left"/>
      <w:pPr>
        <w:ind w:left="3600" w:hanging="360"/>
      </w:pPr>
    </w:lvl>
    <w:lvl w:ilvl="5" w:tplc="6AEE9CC8">
      <w:start w:val="1"/>
      <w:numFmt w:val="lowerRoman"/>
      <w:lvlText w:val="%6."/>
      <w:lvlJc w:val="right"/>
      <w:pPr>
        <w:ind w:left="4320" w:hanging="180"/>
      </w:pPr>
    </w:lvl>
    <w:lvl w:ilvl="6" w:tplc="44F85F7C">
      <w:start w:val="1"/>
      <w:numFmt w:val="decimal"/>
      <w:lvlText w:val="%7."/>
      <w:lvlJc w:val="left"/>
      <w:pPr>
        <w:ind w:left="5040" w:hanging="360"/>
      </w:pPr>
    </w:lvl>
    <w:lvl w:ilvl="7" w:tplc="9BD835E6">
      <w:start w:val="1"/>
      <w:numFmt w:val="lowerLetter"/>
      <w:lvlText w:val="%8."/>
      <w:lvlJc w:val="left"/>
      <w:pPr>
        <w:ind w:left="5760" w:hanging="360"/>
      </w:pPr>
    </w:lvl>
    <w:lvl w:ilvl="8" w:tplc="140C75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E7"/>
    <w:rsid w:val="001A7204"/>
    <w:rsid w:val="00771625"/>
    <w:rsid w:val="00B15A6D"/>
    <w:rsid w:val="00E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5F24-4978-49F8-A8E3-8B0E10DC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4">
    <w:name w:val="Title"/>
    <w:basedOn w:val="a"/>
    <w:next w:val="a"/>
    <w:link w:val="a3"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Pr>
      <w:rFonts w:ascii="Calibri" w:eastAsia="Calibri" w:hAnsi="Calibri" w:cs="Calibri"/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eastAsia="Calibr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afd">
    <w:name w:val="Нижній колонтитул Знак"/>
    <w:basedOn w:val="a0"/>
    <w:link w:val="afc"/>
    <w:uiPriority w:val="99"/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</w:rPr>
  </w:style>
  <w:style w:type="paragraph" w:styleId="a6">
    <w:name w:val="Subtitle"/>
    <w:basedOn w:val="a"/>
    <w:next w:val="a"/>
    <w:link w:val="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f">
    <w:name w:val="No Spacing"/>
    <w:uiPriority w:val="1"/>
    <w:qFormat/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4706</Words>
  <Characters>2683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Kelichavyi</dc:creator>
  <cp:lastModifiedBy>Usher</cp:lastModifiedBy>
  <cp:revision>3</cp:revision>
  <dcterms:created xsi:type="dcterms:W3CDTF">2021-09-28T08:39:00Z</dcterms:created>
  <dcterms:modified xsi:type="dcterms:W3CDTF">2021-09-28T08:40:00Z</dcterms:modified>
</cp:coreProperties>
</file>